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C136" w14:textId="35436C68" w:rsidR="00F40414" w:rsidRPr="00F40414" w:rsidRDefault="007D590F" w:rsidP="007D590F">
      <w:pPr>
        <w:pStyle w:val="NormalWeb"/>
        <w:spacing w:line="231" w:lineRule="atLeast"/>
        <w:jc w:val="center"/>
        <w:rPr>
          <w:rStyle w:val="Emphasis"/>
          <w:b/>
          <w:bCs/>
          <w:i w:val="0"/>
          <w:iCs w:val="0"/>
        </w:rPr>
      </w:pPr>
      <w:bookmarkStart w:id="0" w:name="_GoBack"/>
      <w:bookmarkEnd w:id="0"/>
      <w:r>
        <w:rPr>
          <w:rStyle w:val="Emphasis"/>
          <w:b/>
          <w:bCs/>
          <w:i w:val="0"/>
          <w:iCs w:val="0"/>
        </w:rPr>
        <w:t xml:space="preserve">ITOM </w:t>
      </w:r>
      <w:r w:rsidRPr="007D590F">
        <w:rPr>
          <w:rStyle w:val="Emphasis"/>
          <w:b/>
          <w:bCs/>
          <w:i w:val="0"/>
          <w:iCs w:val="0"/>
        </w:rPr>
        <w:t>Post Tenure Review (PTR) Criteria</w:t>
      </w:r>
      <w:r>
        <w:rPr>
          <w:rStyle w:val="Emphasis"/>
          <w:b/>
          <w:bCs/>
          <w:i w:val="0"/>
          <w:iCs w:val="0"/>
        </w:rPr>
        <w:t xml:space="preserve"> </w:t>
      </w:r>
      <w:r w:rsidR="00F40414" w:rsidRPr="00F40414">
        <w:rPr>
          <w:rStyle w:val="Emphasis"/>
          <w:b/>
          <w:bCs/>
          <w:i w:val="0"/>
          <w:iCs w:val="0"/>
        </w:rPr>
        <w:t>(</w:t>
      </w:r>
      <w:r>
        <w:rPr>
          <w:rStyle w:val="Emphasis"/>
          <w:b/>
          <w:bCs/>
          <w:i w:val="0"/>
          <w:iCs w:val="0"/>
        </w:rPr>
        <w:t xml:space="preserve">Revised: </w:t>
      </w:r>
      <w:r w:rsidR="00F40414" w:rsidRPr="00F40414">
        <w:rPr>
          <w:rStyle w:val="Emphasis"/>
          <w:b/>
          <w:bCs/>
          <w:i w:val="0"/>
          <w:iCs w:val="0"/>
        </w:rPr>
        <w:t>11/</w:t>
      </w:r>
      <w:r w:rsidR="0064001D">
        <w:rPr>
          <w:rStyle w:val="Emphasis"/>
          <w:b/>
          <w:bCs/>
          <w:i w:val="0"/>
          <w:iCs w:val="0"/>
        </w:rPr>
        <w:t>5</w:t>
      </w:r>
      <w:r w:rsidR="00F40414" w:rsidRPr="00F40414">
        <w:rPr>
          <w:rStyle w:val="Emphasis"/>
          <w:b/>
          <w:bCs/>
          <w:i w:val="0"/>
          <w:iCs w:val="0"/>
        </w:rPr>
        <w:t>/2023)</w:t>
      </w:r>
    </w:p>
    <w:p w14:paraId="6E33F408" w14:textId="77777777" w:rsidR="00F40414" w:rsidRDefault="00F40414" w:rsidP="00110E11">
      <w:pPr>
        <w:pStyle w:val="NormalWeb"/>
        <w:spacing w:line="231" w:lineRule="atLeast"/>
        <w:rPr>
          <w:rStyle w:val="Emphasis"/>
          <w:i w:val="0"/>
          <w:iCs w:val="0"/>
        </w:rPr>
      </w:pPr>
    </w:p>
    <w:p w14:paraId="209EF815" w14:textId="7598159B" w:rsidR="00110E11" w:rsidRPr="00110E11" w:rsidRDefault="00110E11" w:rsidP="00110E11">
      <w:pPr>
        <w:pStyle w:val="NormalWeb"/>
        <w:spacing w:line="231" w:lineRule="atLeast"/>
        <w:rPr>
          <w:rStyle w:val="Emphasis"/>
          <w:i w:val="0"/>
          <w:iCs w:val="0"/>
        </w:rPr>
      </w:pPr>
      <w:r w:rsidRPr="00110E11">
        <w:rPr>
          <w:rStyle w:val="Emphasis"/>
          <w:i w:val="0"/>
          <w:iCs w:val="0"/>
        </w:rPr>
        <w:t xml:space="preserve">The ITOM Department post-tenure review (PTR) criteria are based on </w:t>
      </w:r>
      <w:r w:rsidRPr="00110E11">
        <w:rPr>
          <w:shd w:val="clear" w:color="auto" w:fill="FFFFFF"/>
        </w:rPr>
        <w:t>a faculty member’s annual performance evaluations</w:t>
      </w:r>
      <w:r w:rsidRPr="00110E11">
        <w:rPr>
          <w:i/>
          <w:iCs/>
          <w:shd w:val="clear" w:color="auto" w:fill="FFFFFF"/>
        </w:rPr>
        <w:t xml:space="preserve"> </w:t>
      </w:r>
      <w:r w:rsidRPr="00110E11">
        <w:rPr>
          <w:rStyle w:val="Emphasis"/>
          <w:i w:val="0"/>
          <w:iCs w:val="0"/>
        </w:rPr>
        <w:t xml:space="preserve">in the areas of teaching, research (scholarship), and service.  </w:t>
      </w:r>
    </w:p>
    <w:p w14:paraId="0D9FFB99" w14:textId="77777777" w:rsidR="00110E11" w:rsidRPr="00110E11" w:rsidRDefault="00110E11" w:rsidP="00110E11">
      <w:pPr>
        <w:pStyle w:val="NormalWeb"/>
        <w:spacing w:line="231" w:lineRule="atLeast"/>
        <w:rPr>
          <w:rStyle w:val="Emphasis"/>
          <w:i w:val="0"/>
          <w:iCs w:val="0"/>
        </w:rPr>
      </w:pPr>
    </w:p>
    <w:p w14:paraId="3221AD27" w14:textId="77777777" w:rsidR="005C16F7" w:rsidRDefault="005C16F7" w:rsidP="005C16F7">
      <w:pPr>
        <w:pStyle w:val="NormalWeb"/>
        <w:numPr>
          <w:ilvl w:val="0"/>
          <w:numId w:val="4"/>
        </w:numPr>
        <w:spacing w:line="231" w:lineRule="atLeast"/>
        <w:rPr>
          <w:rStyle w:val="Emphasis"/>
          <w:i w:val="0"/>
          <w:iCs w:val="0"/>
        </w:rPr>
      </w:pPr>
      <w:r w:rsidRPr="00110E11">
        <w:rPr>
          <w:rStyle w:val="Emphasis"/>
          <w:i w:val="0"/>
          <w:iCs w:val="0"/>
        </w:rPr>
        <w:t>A PTR performance rating of “</w:t>
      </w:r>
      <w:r w:rsidRPr="005C16F7">
        <w:rPr>
          <w:rStyle w:val="Emphasis"/>
        </w:rPr>
        <w:t>Exceeds Expectations</w:t>
      </w:r>
      <w:r w:rsidRPr="00110E11">
        <w:rPr>
          <w:rStyle w:val="Emphasis"/>
          <w:i w:val="0"/>
          <w:iCs w:val="0"/>
        </w:rPr>
        <w:t>” is achieved if the average OVERALL RATING in</w:t>
      </w:r>
      <w:r w:rsidRPr="00110E11">
        <w:rPr>
          <w:rStyle w:val="Emphasis"/>
        </w:rPr>
        <w:t xml:space="preserve"> </w:t>
      </w:r>
      <w:r w:rsidRPr="00110E11">
        <w:rPr>
          <w:shd w:val="clear" w:color="auto" w:fill="FFFFFF"/>
        </w:rPr>
        <w:t>the faculty member’s annual performance evaluations</w:t>
      </w:r>
      <w:r w:rsidRPr="00110E11">
        <w:rPr>
          <w:i/>
          <w:iCs/>
          <w:shd w:val="clear" w:color="auto" w:fill="FFFFFF"/>
        </w:rPr>
        <w:t xml:space="preserve"> </w:t>
      </w:r>
      <w:r w:rsidRPr="00110E11">
        <w:rPr>
          <w:rStyle w:val="Emphasis"/>
          <w:i w:val="0"/>
          <w:iCs w:val="0"/>
        </w:rPr>
        <w:t xml:space="preserve">over the 5-year PTR evaluation period is </w:t>
      </w:r>
      <w:r w:rsidRPr="007B08BA">
        <w:rPr>
          <w:rStyle w:val="Emphasis"/>
          <w:i w:val="0"/>
          <w:iCs w:val="0"/>
        </w:rPr>
        <w:t>greater than or equal to 4.0</w:t>
      </w:r>
      <w:r w:rsidRPr="00110E11">
        <w:rPr>
          <w:rStyle w:val="Emphasis"/>
          <w:i w:val="0"/>
          <w:iCs w:val="0"/>
        </w:rPr>
        <w:t xml:space="preserve"> (out of a maximum of 5.0)</w:t>
      </w:r>
    </w:p>
    <w:p w14:paraId="00292309" w14:textId="77777777" w:rsidR="005C16F7" w:rsidRDefault="005C16F7" w:rsidP="005C16F7">
      <w:pPr>
        <w:pStyle w:val="NormalWeb"/>
        <w:spacing w:line="231" w:lineRule="atLeast"/>
        <w:ind w:left="720"/>
        <w:rPr>
          <w:rStyle w:val="Emphasis"/>
          <w:i w:val="0"/>
          <w:iCs w:val="0"/>
        </w:rPr>
      </w:pPr>
    </w:p>
    <w:p w14:paraId="5610B2C4" w14:textId="66F7C8E1" w:rsidR="00110E11" w:rsidRPr="005C16F7" w:rsidRDefault="00110E11" w:rsidP="00110E11">
      <w:pPr>
        <w:pStyle w:val="NormalWeb"/>
        <w:numPr>
          <w:ilvl w:val="0"/>
          <w:numId w:val="4"/>
        </w:numPr>
        <w:spacing w:line="231" w:lineRule="atLeast"/>
        <w:rPr>
          <w:rStyle w:val="Emphasis"/>
          <w:i w:val="0"/>
          <w:iCs w:val="0"/>
        </w:rPr>
      </w:pPr>
      <w:r w:rsidRPr="00110E11">
        <w:rPr>
          <w:rStyle w:val="Emphasis"/>
          <w:i w:val="0"/>
          <w:iCs w:val="0"/>
        </w:rPr>
        <w:t>A PTR performance rating of “</w:t>
      </w:r>
      <w:r w:rsidRPr="005C16F7">
        <w:rPr>
          <w:rStyle w:val="Emphasis"/>
        </w:rPr>
        <w:t>Meets Expectations</w:t>
      </w:r>
      <w:r w:rsidRPr="00110E11">
        <w:rPr>
          <w:rStyle w:val="Emphasis"/>
          <w:i w:val="0"/>
          <w:iCs w:val="0"/>
        </w:rPr>
        <w:t>” is achieved if the average OVERALL RATING in</w:t>
      </w:r>
      <w:r w:rsidRPr="00110E11">
        <w:rPr>
          <w:rStyle w:val="Emphasis"/>
        </w:rPr>
        <w:t xml:space="preserve"> </w:t>
      </w:r>
      <w:r w:rsidRPr="00110E11">
        <w:rPr>
          <w:shd w:val="clear" w:color="auto" w:fill="FFFFFF"/>
        </w:rPr>
        <w:t>the faculty member’s annual performance evaluations</w:t>
      </w:r>
      <w:r w:rsidRPr="00110E11">
        <w:rPr>
          <w:i/>
          <w:iCs/>
          <w:shd w:val="clear" w:color="auto" w:fill="FFFFFF"/>
        </w:rPr>
        <w:t xml:space="preserve"> </w:t>
      </w:r>
      <w:r w:rsidRPr="00110E11">
        <w:rPr>
          <w:rStyle w:val="Emphasis"/>
          <w:i w:val="0"/>
          <w:iCs w:val="0"/>
        </w:rPr>
        <w:t xml:space="preserve">over the 5-year PTR evaluation period is </w:t>
      </w:r>
      <w:r w:rsidRPr="007B08BA">
        <w:rPr>
          <w:rStyle w:val="Emphasis"/>
          <w:i w:val="0"/>
          <w:iCs w:val="0"/>
        </w:rPr>
        <w:t>between 3.0 and 3.999 inclusive</w:t>
      </w:r>
      <w:r w:rsidRPr="00110E11">
        <w:rPr>
          <w:rStyle w:val="Emphasis"/>
          <w:i w:val="0"/>
          <w:iCs w:val="0"/>
        </w:rPr>
        <w:t xml:space="preserve"> (out of a maximum of 5.0)</w:t>
      </w:r>
    </w:p>
    <w:p w14:paraId="3D0822F8" w14:textId="77777777" w:rsidR="004315CD" w:rsidRPr="005C16F7" w:rsidRDefault="004315CD" w:rsidP="004315CD">
      <w:pPr>
        <w:pStyle w:val="NormalWeb"/>
        <w:spacing w:line="231" w:lineRule="atLeast"/>
        <w:ind w:left="720"/>
        <w:rPr>
          <w:rStyle w:val="Emphasis"/>
          <w:i w:val="0"/>
          <w:iCs w:val="0"/>
          <w:color w:val="FF0000"/>
        </w:rPr>
      </w:pPr>
    </w:p>
    <w:p w14:paraId="74C85CD0" w14:textId="33387F02" w:rsidR="00F40414" w:rsidRPr="00F40414" w:rsidRDefault="00F40414" w:rsidP="00F40414">
      <w:pPr>
        <w:pStyle w:val="NormalWeb"/>
        <w:numPr>
          <w:ilvl w:val="0"/>
          <w:numId w:val="3"/>
        </w:numPr>
        <w:spacing w:line="231" w:lineRule="atLeast"/>
        <w:rPr>
          <w:rStyle w:val="Emphasis"/>
          <w:i w:val="0"/>
          <w:iCs w:val="0"/>
        </w:rPr>
      </w:pPr>
      <w:r w:rsidRPr="00F40414">
        <w:rPr>
          <w:rStyle w:val="Emphasis"/>
          <w:i w:val="0"/>
          <w:iCs w:val="0"/>
        </w:rPr>
        <w:t>A PTR performance rating of “</w:t>
      </w:r>
      <w:r w:rsidRPr="00F40414">
        <w:rPr>
          <w:rStyle w:val="Emphasis"/>
        </w:rPr>
        <w:t>Does Not Meet Expectations</w:t>
      </w:r>
      <w:r w:rsidRPr="00F40414">
        <w:rPr>
          <w:rStyle w:val="Emphasis"/>
          <w:i w:val="0"/>
          <w:iCs w:val="0"/>
        </w:rPr>
        <w:t xml:space="preserve">” in a specific area (teaching, </w:t>
      </w:r>
      <w:r w:rsidR="00D866AE" w:rsidRPr="00F40414">
        <w:rPr>
          <w:rStyle w:val="Emphasis"/>
          <w:i w:val="0"/>
          <w:iCs w:val="0"/>
        </w:rPr>
        <w:t>research</w:t>
      </w:r>
      <w:r w:rsidR="00D866AE">
        <w:rPr>
          <w:rStyle w:val="Emphasis"/>
          <w:i w:val="0"/>
          <w:iCs w:val="0"/>
        </w:rPr>
        <w:t xml:space="preserve"> </w:t>
      </w:r>
      <w:r w:rsidRPr="00F40414">
        <w:rPr>
          <w:rStyle w:val="Emphasis"/>
          <w:i w:val="0"/>
          <w:iCs w:val="0"/>
        </w:rPr>
        <w:t>or service) is received if the average of that area’s rating (TEACHING RATING, RESEARCH RATING or SERVICE RATING) in the faculty member’s annual performance evaluations over the 5-year PTR evaluation period</w:t>
      </w:r>
      <w:r w:rsidRPr="007B08BA">
        <w:rPr>
          <w:rStyle w:val="Emphasis"/>
          <w:i w:val="0"/>
          <w:iCs w:val="0"/>
        </w:rPr>
        <w:t xml:space="preserve"> is below 3.0</w:t>
      </w:r>
      <w:r w:rsidRPr="00F40414">
        <w:rPr>
          <w:rStyle w:val="Emphasis"/>
          <w:i w:val="0"/>
          <w:iCs w:val="0"/>
        </w:rPr>
        <w:t xml:space="preserve"> (out of a maximum</w:t>
      </w:r>
      <w:r w:rsidR="007B08BA">
        <w:rPr>
          <w:rStyle w:val="Emphasis"/>
          <w:i w:val="0"/>
          <w:iCs w:val="0"/>
        </w:rPr>
        <w:t xml:space="preserve"> of</w:t>
      </w:r>
      <w:r w:rsidRPr="00F40414">
        <w:rPr>
          <w:rStyle w:val="Emphasis"/>
          <w:i w:val="0"/>
          <w:iCs w:val="0"/>
        </w:rPr>
        <w:t xml:space="preserve"> 5.0)</w:t>
      </w:r>
    </w:p>
    <w:p w14:paraId="7A9B3C47" w14:textId="77777777" w:rsidR="00F40414" w:rsidRPr="00110E11" w:rsidRDefault="00F40414" w:rsidP="00110E11">
      <w:pPr>
        <w:pStyle w:val="NormalWeb"/>
        <w:spacing w:line="231" w:lineRule="atLeast"/>
        <w:rPr>
          <w:rStyle w:val="Emphasis"/>
          <w:i w:val="0"/>
          <w:iCs w:val="0"/>
        </w:rPr>
      </w:pPr>
    </w:p>
    <w:p w14:paraId="42C495E7" w14:textId="243D5538" w:rsidR="00110E11" w:rsidRPr="00110E11" w:rsidRDefault="00110E11" w:rsidP="00110E11">
      <w:pPr>
        <w:pStyle w:val="NormalWeb"/>
        <w:spacing w:line="231" w:lineRule="atLeast"/>
        <w:rPr>
          <w:rStyle w:val="Emphasis"/>
          <w:i w:val="0"/>
          <w:iCs w:val="0"/>
          <w:strike/>
          <w:color w:val="FF0000"/>
        </w:rPr>
      </w:pPr>
      <w:r w:rsidRPr="00110E11">
        <w:rPr>
          <w:rStyle w:val="Emphasis"/>
          <w:i w:val="0"/>
          <w:iCs w:val="0"/>
        </w:rPr>
        <w:t xml:space="preserve">The OVERALL RATING in the </w:t>
      </w:r>
      <w:r w:rsidRPr="00110E11">
        <w:rPr>
          <w:shd w:val="clear" w:color="auto" w:fill="FFFFFF"/>
        </w:rPr>
        <w:t>faculty member’s annual performance evaluation</w:t>
      </w:r>
      <w:r w:rsidRPr="00110E11">
        <w:rPr>
          <w:i/>
          <w:iCs/>
          <w:shd w:val="clear" w:color="auto" w:fill="FFFFFF"/>
        </w:rPr>
        <w:t xml:space="preserve"> </w:t>
      </w:r>
      <w:r w:rsidRPr="00110E11">
        <w:rPr>
          <w:rStyle w:val="Emphasis"/>
          <w:i w:val="0"/>
          <w:iCs w:val="0"/>
        </w:rPr>
        <w:t xml:space="preserve">is the SUM of the faculty annual-assignment-weighted ratings of WEIGHTED TEACHING RATING, WEIGHTED RESEARCH RATING and WEIGHTED SERVICE RATING. </w:t>
      </w:r>
    </w:p>
    <w:p w14:paraId="76C6F36F" w14:textId="77777777" w:rsidR="00C233CC" w:rsidRDefault="00C233CC">
      <w:pPr>
        <w:rPr>
          <w:rFonts w:ascii="Times New Roman" w:hAnsi="Times New Roman" w:cs="Times New Roman"/>
          <w:sz w:val="24"/>
          <w:szCs w:val="24"/>
        </w:rPr>
      </w:pPr>
    </w:p>
    <w:p w14:paraId="63E4122A" w14:textId="77777777" w:rsidR="005C16F7" w:rsidRPr="00C233CC" w:rsidRDefault="005C16F7">
      <w:pPr>
        <w:rPr>
          <w:rFonts w:ascii="Times New Roman" w:hAnsi="Times New Roman" w:cs="Times New Roman"/>
          <w:sz w:val="24"/>
          <w:szCs w:val="24"/>
        </w:rPr>
      </w:pPr>
    </w:p>
    <w:sectPr w:rsidR="005C16F7" w:rsidRPr="00C2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818"/>
    <w:multiLevelType w:val="hybridMultilevel"/>
    <w:tmpl w:val="5DDA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4CF"/>
    <w:multiLevelType w:val="multilevel"/>
    <w:tmpl w:val="D6D6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7615F"/>
    <w:multiLevelType w:val="multilevel"/>
    <w:tmpl w:val="881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D1B0A"/>
    <w:multiLevelType w:val="hybridMultilevel"/>
    <w:tmpl w:val="1746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1EFE"/>
    <w:multiLevelType w:val="multilevel"/>
    <w:tmpl w:val="5EE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CC"/>
    <w:rsid w:val="000F055E"/>
    <w:rsid w:val="00110E11"/>
    <w:rsid w:val="0022259E"/>
    <w:rsid w:val="003F5655"/>
    <w:rsid w:val="004315CD"/>
    <w:rsid w:val="005A524F"/>
    <w:rsid w:val="005B2F66"/>
    <w:rsid w:val="005C16F7"/>
    <w:rsid w:val="0064001D"/>
    <w:rsid w:val="0079476D"/>
    <w:rsid w:val="007B08BA"/>
    <w:rsid w:val="007D590F"/>
    <w:rsid w:val="008711BE"/>
    <w:rsid w:val="008C5A30"/>
    <w:rsid w:val="00B15F5F"/>
    <w:rsid w:val="00B42836"/>
    <w:rsid w:val="00C233CC"/>
    <w:rsid w:val="00D866AE"/>
    <w:rsid w:val="00F40414"/>
    <w:rsid w:val="00F6635F"/>
    <w:rsid w:val="00F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9AB8"/>
  <w15:chartTrackingRefBased/>
  <w15:docId w15:val="{BF08CC21-0919-4077-AD7E-FBFBA29F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C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xmsolistparagraph">
    <w:name w:val="x_xmsolistparagraph"/>
    <w:basedOn w:val="Normal"/>
    <w:rsid w:val="00C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C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110E1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10E11"/>
    <w:rPr>
      <w:i/>
      <w:iCs/>
    </w:rPr>
  </w:style>
  <w:style w:type="paragraph" w:styleId="ListParagraph">
    <w:name w:val="List Paragraph"/>
    <w:basedOn w:val="Normal"/>
    <w:uiPriority w:val="34"/>
    <w:qFormat/>
    <w:rsid w:val="0043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Behara</dc:creator>
  <cp:keywords/>
  <dc:description/>
  <cp:lastModifiedBy>Donald Neubaum</cp:lastModifiedBy>
  <cp:revision>2</cp:revision>
  <dcterms:created xsi:type="dcterms:W3CDTF">2023-11-13T15:17:00Z</dcterms:created>
  <dcterms:modified xsi:type="dcterms:W3CDTF">2023-11-13T15:17:00Z</dcterms:modified>
</cp:coreProperties>
</file>